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6B365" w14:textId="72807489" w:rsidR="002D5AE9" w:rsidRPr="002D5AE9" w:rsidRDefault="002D5AE9"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2D5AE9">
        <w:rPr>
          <w:rFonts w:ascii="Trebuchet MS" w:eastAsia="Times New Roman" w:hAnsi="Trebuchet MS" w:cs="Times New Roman"/>
          <w:b/>
          <w:sz w:val="20"/>
          <w:szCs w:val="20"/>
        </w:rPr>
        <w:t xml:space="preserve">Read the </w:t>
      </w:r>
      <w:r w:rsidRPr="002D5AE9">
        <w:rPr>
          <w:rFonts w:ascii="Trebuchet MS" w:eastAsia="Times New Roman" w:hAnsi="Trebuchet MS" w:cs="Times New Roman"/>
          <w:b/>
          <w:sz w:val="20"/>
          <w:szCs w:val="20"/>
        </w:rPr>
        <w:t>Integrative Case 2</w:t>
      </w:r>
      <w:r w:rsidRPr="002D5AE9">
        <w:rPr>
          <w:rFonts w:ascii="Trebuchet MS" w:eastAsia="Times New Roman" w:hAnsi="Trebuchet MS" w:cs="Times New Roman"/>
          <w:b/>
          <w:sz w:val="20"/>
          <w:szCs w:val="20"/>
        </w:rPr>
        <w:t xml:space="preserve"> and answer questions a -</w:t>
      </w:r>
      <w:r>
        <w:rPr>
          <w:rFonts w:ascii="Trebuchet MS" w:eastAsia="Times New Roman" w:hAnsi="Trebuchet MS" w:cs="Times New Roman"/>
          <w:b/>
          <w:sz w:val="20"/>
          <w:szCs w:val="20"/>
        </w:rPr>
        <w:t xml:space="preserve"> </w:t>
      </w:r>
      <w:r w:rsidRPr="002D5AE9">
        <w:rPr>
          <w:rFonts w:ascii="Trebuchet MS" w:eastAsia="Times New Roman" w:hAnsi="Trebuchet MS" w:cs="Times New Roman"/>
          <w:b/>
          <w:sz w:val="20"/>
          <w:szCs w:val="20"/>
        </w:rPr>
        <w:t xml:space="preserve">g </w:t>
      </w:r>
    </w:p>
    <w:p w14:paraId="7A9F90E7" w14:textId="338B9E5A"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196D9CBA"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w:t>
      </w:r>
      <w:r w:rsidR="00A66992">
        <w:rPr>
          <w:rFonts w:ascii="Calibri" w:hAnsi="Calibri"/>
          <w:sz w:val="20"/>
          <w:szCs w:val="20"/>
        </w:rPr>
        <w:t>.</w:t>
      </w:r>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4931F134" w14:textId="3D54E7CA" w:rsidR="005631D8" w:rsidRDefault="002D5AE9" w:rsidP="005631D8">
      <w:pPr>
        <w:autoSpaceDE w:val="0"/>
        <w:autoSpaceDN w:val="0"/>
        <w:adjustRightInd w:val="0"/>
        <w:spacing w:after="0" w:line="240" w:lineRule="auto"/>
        <w:rPr>
          <w:rFonts w:cstheme="minorHAnsi"/>
        </w:rPr>
      </w:pPr>
      <w:r w:rsidRPr="002D5AE9">
        <w:rPr>
          <w:rFonts w:cstheme="minorHAnsi"/>
        </w:rPr>
        <w:t>Integrative Case 2</w:t>
      </w:r>
    </w:p>
    <w:p w14:paraId="7D4CF4DD" w14:textId="65B38CCB" w:rsidR="002D5AE9" w:rsidRDefault="002D5AE9" w:rsidP="005631D8">
      <w:pPr>
        <w:autoSpaceDE w:val="0"/>
        <w:autoSpaceDN w:val="0"/>
        <w:adjustRightInd w:val="0"/>
        <w:spacing w:after="0" w:line="240" w:lineRule="auto"/>
        <w:rPr>
          <w:rFonts w:ascii="FuturaStd-Medium" w:hAnsi="FuturaStd-Medium" w:cs="FuturaStd-Medium"/>
          <w:sz w:val="34"/>
          <w:szCs w:val="34"/>
        </w:rPr>
      </w:pPr>
      <w:r>
        <w:rPr>
          <w:rFonts w:ascii="FuturaStd-Medium" w:hAnsi="FuturaStd-Medium" w:cs="FuturaStd-Medium"/>
          <w:sz w:val="34"/>
          <w:szCs w:val="34"/>
        </w:rPr>
        <w:t>Track Software, Inc.</w:t>
      </w:r>
    </w:p>
    <w:p w14:paraId="3A3D17A5"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Seven years ago, after 15 years in public accounting, Stanley Booker, CPA,</w:t>
      </w:r>
    </w:p>
    <w:p w14:paraId="54C0F719"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resigned his position as manager of cost systems for Davis, Cohen, and O’Brien</w:t>
      </w:r>
    </w:p>
    <w:p w14:paraId="09D451FA"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Public Accountants and started Track Software, Inc. In the 2 years preceding his</w:t>
      </w:r>
    </w:p>
    <w:p w14:paraId="315999C5"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departure from Davis, Cohen, and O’Brien, Stanley had spent nights and weekends</w:t>
      </w:r>
    </w:p>
    <w:p w14:paraId="556CEC03"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developing a sophisticated cost-accounting software program that became Track’s</w:t>
      </w:r>
    </w:p>
    <w:p w14:paraId="4EA719F0"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initial product offering. As the firm grew, Stanley planned to develop and expand</w:t>
      </w:r>
    </w:p>
    <w:p w14:paraId="7B9AE6C6"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the software product offerings, all of which would be related to streamlining the</w:t>
      </w:r>
    </w:p>
    <w:p w14:paraId="00942AED"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accounting processes of medium- to large-sized manufacturers.</w:t>
      </w:r>
    </w:p>
    <w:p w14:paraId="4F3F7647"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Although Track experienced losses during its first 2 years of operation—2009</w:t>
      </w:r>
    </w:p>
    <w:p w14:paraId="50A953C4"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and 2010—its profit has increased steadily from 2011 to the present (2015). The</w:t>
      </w:r>
    </w:p>
    <w:p w14:paraId="0AFF6092"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firm’s profit history, including dividend payments and contributions to retained</w:t>
      </w:r>
    </w:p>
    <w:p w14:paraId="022876C4" w14:textId="77777777" w:rsidR="002D5AE9" w:rsidRPr="002D5AE9" w:rsidRDefault="002D5AE9" w:rsidP="002D5AE9">
      <w:pPr>
        <w:autoSpaceDE w:val="0"/>
        <w:autoSpaceDN w:val="0"/>
        <w:adjustRightInd w:val="0"/>
        <w:spacing w:after="0" w:line="240" w:lineRule="auto"/>
        <w:rPr>
          <w:rFonts w:cstheme="minorHAnsi"/>
        </w:rPr>
      </w:pPr>
      <w:proofErr w:type="gramStart"/>
      <w:r w:rsidRPr="002D5AE9">
        <w:rPr>
          <w:rFonts w:cstheme="minorHAnsi"/>
        </w:rPr>
        <w:t>earnings,</w:t>
      </w:r>
      <w:proofErr w:type="gramEnd"/>
      <w:r w:rsidRPr="002D5AE9">
        <w:rPr>
          <w:rFonts w:cstheme="minorHAnsi"/>
        </w:rPr>
        <w:t xml:space="preserve"> is summarized in Table 1.</w:t>
      </w:r>
    </w:p>
    <w:p w14:paraId="6560F9BE"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Stanley started the firm with a $100,000 investment: his savings of $50,000 as</w:t>
      </w:r>
    </w:p>
    <w:p w14:paraId="5459E53C"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equity and a $50,000 long-term loan from the bank. He had hoped to maintain his</w:t>
      </w:r>
    </w:p>
    <w:p w14:paraId="17BC1F44"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initial 100 percent ownership in the corporation, but after experiencing a $50,000</w:t>
      </w:r>
    </w:p>
    <w:p w14:paraId="27083FD5"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loss during the first year of operation (2009), he sold 60 percent of the stock to a</w:t>
      </w:r>
    </w:p>
    <w:p w14:paraId="028596D7"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group of investors to obtain needed funds. Since then, no other stock transactions</w:t>
      </w:r>
    </w:p>
    <w:p w14:paraId="59F85C05"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have taken place. Although he owns only 40 percent of the firm, Stanley actively</w:t>
      </w:r>
    </w:p>
    <w:p w14:paraId="27EF0236"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manages all aspects of its activities; the other stockholders are not active in management</w:t>
      </w:r>
    </w:p>
    <w:p w14:paraId="1734ACA8"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of the firm. The firm’s stock was valued at $4.50 per share in 2014 and at</w:t>
      </w:r>
    </w:p>
    <w:p w14:paraId="342D3BF6" w14:textId="0A762AFE" w:rsidR="002D5AE9" w:rsidRDefault="002D5AE9" w:rsidP="002D5AE9">
      <w:pPr>
        <w:autoSpaceDE w:val="0"/>
        <w:autoSpaceDN w:val="0"/>
        <w:adjustRightInd w:val="0"/>
        <w:spacing w:after="0" w:line="240" w:lineRule="auto"/>
        <w:rPr>
          <w:rFonts w:cstheme="minorHAnsi"/>
        </w:rPr>
      </w:pPr>
      <w:r w:rsidRPr="002D5AE9">
        <w:rPr>
          <w:rFonts w:cstheme="minorHAnsi"/>
        </w:rPr>
        <w:t>$5.28 per share in 2015.</w:t>
      </w:r>
    </w:p>
    <w:p w14:paraId="725C0020" w14:textId="0C117FD5" w:rsidR="002D5AE9" w:rsidRDefault="002D5AE9" w:rsidP="002D5AE9">
      <w:pPr>
        <w:autoSpaceDE w:val="0"/>
        <w:autoSpaceDN w:val="0"/>
        <w:adjustRightInd w:val="0"/>
        <w:spacing w:after="0" w:line="240" w:lineRule="auto"/>
        <w:rPr>
          <w:rFonts w:cstheme="minorHAnsi"/>
        </w:rPr>
      </w:pPr>
      <w:r>
        <w:rPr>
          <w:rFonts w:cstheme="minorHAnsi"/>
          <w:noProof/>
        </w:rPr>
        <w:lastRenderedPageBreak/>
        <w:drawing>
          <wp:inline distT="0" distB="0" distL="0" distR="0" wp14:anchorId="3C5EB904" wp14:editId="0FC823C9">
            <wp:extent cx="5134692" cy="2962688"/>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1.PNG"/>
                    <pic:cNvPicPr/>
                  </pic:nvPicPr>
                  <pic:blipFill>
                    <a:blip r:embed="rId5">
                      <a:extLst>
                        <a:ext uri="{28A0092B-C50C-407E-A947-70E740481C1C}">
                          <a14:useLocalDpi xmlns:a14="http://schemas.microsoft.com/office/drawing/2010/main" val="0"/>
                        </a:ext>
                      </a:extLst>
                    </a:blip>
                    <a:stretch>
                      <a:fillRect/>
                    </a:stretch>
                  </pic:blipFill>
                  <pic:spPr>
                    <a:xfrm>
                      <a:off x="0" y="0"/>
                      <a:ext cx="5134692" cy="2962688"/>
                    </a:xfrm>
                    <a:prstGeom prst="rect">
                      <a:avLst/>
                    </a:prstGeom>
                  </pic:spPr>
                </pic:pic>
              </a:graphicData>
            </a:graphic>
          </wp:inline>
        </w:drawing>
      </w:r>
    </w:p>
    <w:p w14:paraId="0918C568"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Stanley has just prepared the firm’s 2015 income statement, balance sheet, and</w:t>
      </w:r>
    </w:p>
    <w:p w14:paraId="1659C98D"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statement of retained earnings, shown in Tables 2, 3, and 4, along with the 2014</w:t>
      </w:r>
    </w:p>
    <w:p w14:paraId="0D95E47E"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balance sheet. In addition, he has compiled the 2014 ratio values and industry</w:t>
      </w:r>
    </w:p>
    <w:p w14:paraId="4A6B6713"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average ratio values for 2015, which are applicable to both 2014 and 2015 and</w:t>
      </w:r>
    </w:p>
    <w:p w14:paraId="155E31AD"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are summarized in Table 5. He is quite pleased to have achieved record earnings of</w:t>
      </w:r>
    </w:p>
    <w:p w14:paraId="59A4714B"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$48,000 in 2015, but he is concerned about the firm’s cash flows. Specifically, he</w:t>
      </w:r>
    </w:p>
    <w:p w14:paraId="149B33F9"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is finding it more and more difficult to pay the firm’s bills in a timely manner and</w:t>
      </w:r>
    </w:p>
    <w:p w14:paraId="21259640"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generate cash flows to investors, both creditors and owners. To gain insight into</w:t>
      </w:r>
    </w:p>
    <w:p w14:paraId="3A01D0F8"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these cash flow problems, Stanley is planning to determine the firm’s 2015 operating</w:t>
      </w:r>
    </w:p>
    <w:p w14:paraId="72BA8B03"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cash flow (OCF) and free cash flow (FCF).</w:t>
      </w:r>
    </w:p>
    <w:p w14:paraId="7973F8E2"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Stanley is further frustrated by the firm’s inability to afford to hire a software</w:t>
      </w:r>
    </w:p>
    <w:p w14:paraId="711FED9C"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developer to complete development of a cost estimation package that is believed</w:t>
      </w:r>
    </w:p>
    <w:p w14:paraId="70EB6F15"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to have “blockbuster” sales potential. Stanley began development of this package</w:t>
      </w:r>
    </w:p>
    <w:p w14:paraId="13116ABF"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2 years ago, but the firm’s growing complexity has forced him to devote more of</w:t>
      </w:r>
    </w:p>
    <w:p w14:paraId="1E38ED71"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his time to administrative duties, thereby halting the development of this product.</w:t>
      </w:r>
    </w:p>
    <w:p w14:paraId="08F9C98B"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Stanley’s reluctance to fill this position stems from his concern that the added</w:t>
      </w:r>
    </w:p>
    <w:p w14:paraId="71B58387"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$80,000 per year in salary and benefits for the position would certainly lower the</w:t>
      </w:r>
    </w:p>
    <w:p w14:paraId="5B83CE6C"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firm’s earnings per share (EPS) over the next couple of years. Although the project’s</w:t>
      </w:r>
    </w:p>
    <w:p w14:paraId="6A92F327"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success is in no way guaranteed, Stanley believes that if the money were spent to hire</w:t>
      </w:r>
    </w:p>
    <w:p w14:paraId="22870AEB"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the software developer, the firm’s sales and earnings would significantly rise once</w:t>
      </w:r>
    </w:p>
    <w:p w14:paraId="31BA947E"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the 2- to 3-year development, production, and marketing process was completed.</w:t>
      </w:r>
    </w:p>
    <w:p w14:paraId="5DDF6550"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With all these concerns in mind, Stanley set out to review the various data to</w:t>
      </w:r>
    </w:p>
    <w:p w14:paraId="5E3E8919"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develop strategies that would help ensure a bright future for Track Software. Stanley</w:t>
      </w:r>
    </w:p>
    <w:p w14:paraId="201E7886"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believed that as part of this process, a thorough ratio analysis of the firm’s 2015</w:t>
      </w:r>
    </w:p>
    <w:p w14:paraId="1661CF7F" w14:textId="13BC5E5C" w:rsidR="002D5AE9" w:rsidRDefault="002D5AE9" w:rsidP="002D5AE9">
      <w:pPr>
        <w:autoSpaceDE w:val="0"/>
        <w:autoSpaceDN w:val="0"/>
        <w:adjustRightInd w:val="0"/>
        <w:spacing w:after="0" w:line="240" w:lineRule="auto"/>
        <w:rPr>
          <w:rFonts w:cstheme="minorHAnsi"/>
        </w:rPr>
      </w:pPr>
      <w:r w:rsidRPr="002D5AE9">
        <w:rPr>
          <w:rFonts w:cstheme="minorHAnsi"/>
        </w:rPr>
        <w:t>results would provide important additional insights.</w:t>
      </w:r>
    </w:p>
    <w:p w14:paraId="3C7CA931" w14:textId="309341D1" w:rsidR="002D5AE9" w:rsidRDefault="002D5AE9" w:rsidP="002D5AE9">
      <w:pPr>
        <w:autoSpaceDE w:val="0"/>
        <w:autoSpaceDN w:val="0"/>
        <w:adjustRightInd w:val="0"/>
        <w:spacing w:after="0" w:line="240" w:lineRule="auto"/>
        <w:rPr>
          <w:rFonts w:cstheme="minorHAnsi"/>
        </w:rPr>
      </w:pPr>
      <w:r>
        <w:rPr>
          <w:rFonts w:cstheme="minorHAnsi"/>
          <w:noProof/>
        </w:rPr>
        <w:lastRenderedPageBreak/>
        <w:drawing>
          <wp:inline distT="0" distB="0" distL="0" distR="0" wp14:anchorId="047C6B21" wp14:editId="24A6DDAF">
            <wp:extent cx="3915321" cy="3248478"/>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2.PNG"/>
                    <pic:cNvPicPr/>
                  </pic:nvPicPr>
                  <pic:blipFill>
                    <a:blip r:embed="rId6">
                      <a:extLst>
                        <a:ext uri="{28A0092B-C50C-407E-A947-70E740481C1C}">
                          <a14:useLocalDpi xmlns:a14="http://schemas.microsoft.com/office/drawing/2010/main" val="0"/>
                        </a:ext>
                      </a:extLst>
                    </a:blip>
                    <a:stretch>
                      <a:fillRect/>
                    </a:stretch>
                  </pic:blipFill>
                  <pic:spPr>
                    <a:xfrm>
                      <a:off x="0" y="0"/>
                      <a:ext cx="3915321" cy="3248478"/>
                    </a:xfrm>
                    <a:prstGeom prst="rect">
                      <a:avLst/>
                    </a:prstGeom>
                  </pic:spPr>
                </pic:pic>
              </a:graphicData>
            </a:graphic>
          </wp:inline>
        </w:drawing>
      </w:r>
    </w:p>
    <w:p w14:paraId="1C50AE18" w14:textId="789C393E" w:rsidR="002D5AE9" w:rsidRDefault="002D5AE9" w:rsidP="002D5AE9">
      <w:pPr>
        <w:autoSpaceDE w:val="0"/>
        <w:autoSpaceDN w:val="0"/>
        <w:adjustRightInd w:val="0"/>
        <w:spacing w:after="0" w:line="240" w:lineRule="auto"/>
        <w:rPr>
          <w:rFonts w:cstheme="minorHAnsi"/>
        </w:rPr>
      </w:pPr>
      <w:r>
        <w:rPr>
          <w:rFonts w:cstheme="minorHAnsi"/>
          <w:noProof/>
        </w:rPr>
        <w:lastRenderedPageBreak/>
        <w:drawing>
          <wp:inline distT="0" distB="0" distL="0" distR="0" wp14:anchorId="67CEAC66" wp14:editId="60CECD06">
            <wp:extent cx="4182059" cy="5391902"/>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3.PNG"/>
                    <pic:cNvPicPr/>
                  </pic:nvPicPr>
                  <pic:blipFill>
                    <a:blip r:embed="rId7">
                      <a:extLst>
                        <a:ext uri="{28A0092B-C50C-407E-A947-70E740481C1C}">
                          <a14:useLocalDpi xmlns:a14="http://schemas.microsoft.com/office/drawing/2010/main" val="0"/>
                        </a:ext>
                      </a:extLst>
                    </a:blip>
                    <a:stretch>
                      <a:fillRect/>
                    </a:stretch>
                  </pic:blipFill>
                  <pic:spPr>
                    <a:xfrm>
                      <a:off x="0" y="0"/>
                      <a:ext cx="4182059" cy="5391902"/>
                    </a:xfrm>
                    <a:prstGeom prst="rect">
                      <a:avLst/>
                    </a:prstGeom>
                  </pic:spPr>
                </pic:pic>
              </a:graphicData>
            </a:graphic>
          </wp:inline>
        </w:drawing>
      </w:r>
    </w:p>
    <w:p w14:paraId="1C4CE61A" w14:textId="64DD96DF" w:rsidR="002D5AE9" w:rsidRDefault="002D5AE9" w:rsidP="002D5AE9">
      <w:pPr>
        <w:autoSpaceDE w:val="0"/>
        <w:autoSpaceDN w:val="0"/>
        <w:adjustRightInd w:val="0"/>
        <w:spacing w:after="0" w:line="240" w:lineRule="auto"/>
        <w:rPr>
          <w:rFonts w:cstheme="minorHAnsi"/>
        </w:rPr>
      </w:pPr>
      <w:r>
        <w:rPr>
          <w:rFonts w:cstheme="minorHAnsi"/>
          <w:noProof/>
        </w:rPr>
        <w:drawing>
          <wp:inline distT="0" distB="0" distL="0" distR="0" wp14:anchorId="70E127C9" wp14:editId="7BF0EDBE">
            <wp:extent cx="4077269" cy="1857634"/>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le4.PNG"/>
                    <pic:cNvPicPr/>
                  </pic:nvPicPr>
                  <pic:blipFill>
                    <a:blip r:embed="rId8">
                      <a:extLst>
                        <a:ext uri="{28A0092B-C50C-407E-A947-70E740481C1C}">
                          <a14:useLocalDpi xmlns:a14="http://schemas.microsoft.com/office/drawing/2010/main" val="0"/>
                        </a:ext>
                      </a:extLst>
                    </a:blip>
                    <a:stretch>
                      <a:fillRect/>
                    </a:stretch>
                  </pic:blipFill>
                  <pic:spPr>
                    <a:xfrm>
                      <a:off x="0" y="0"/>
                      <a:ext cx="4077269" cy="1857634"/>
                    </a:xfrm>
                    <a:prstGeom prst="rect">
                      <a:avLst/>
                    </a:prstGeom>
                  </pic:spPr>
                </pic:pic>
              </a:graphicData>
            </a:graphic>
          </wp:inline>
        </w:drawing>
      </w:r>
    </w:p>
    <w:p w14:paraId="23F1C4CD" w14:textId="19682E6A" w:rsidR="002D5AE9" w:rsidRDefault="002D5AE9" w:rsidP="002D5AE9">
      <w:pPr>
        <w:autoSpaceDE w:val="0"/>
        <w:autoSpaceDN w:val="0"/>
        <w:adjustRightInd w:val="0"/>
        <w:spacing w:after="0" w:line="240" w:lineRule="auto"/>
        <w:rPr>
          <w:rFonts w:cstheme="minorHAnsi"/>
        </w:rPr>
      </w:pPr>
      <w:r>
        <w:rPr>
          <w:rFonts w:cstheme="minorHAnsi"/>
          <w:noProof/>
        </w:rPr>
        <w:lastRenderedPageBreak/>
        <w:drawing>
          <wp:inline distT="0" distB="0" distL="0" distR="0" wp14:anchorId="101DB38E" wp14:editId="780CAD7B">
            <wp:extent cx="4620270" cy="3686689"/>
            <wp:effectExtent l="0" t="0" r="889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5.PNG"/>
                    <pic:cNvPicPr/>
                  </pic:nvPicPr>
                  <pic:blipFill>
                    <a:blip r:embed="rId9">
                      <a:extLst>
                        <a:ext uri="{28A0092B-C50C-407E-A947-70E740481C1C}">
                          <a14:useLocalDpi xmlns:a14="http://schemas.microsoft.com/office/drawing/2010/main" val="0"/>
                        </a:ext>
                      </a:extLst>
                    </a:blip>
                    <a:stretch>
                      <a:fillRect/>
                    </a:stretch>
                  </pic:blipFill>
                  <pic:spPr>
                    <a:xfrm>
                      <a:off x="0" y="0"/>
                      <a:ext cx="4620270" cy="3686689"/>
                    </a:xfrm>
                    <a:prstGeom prst="rect">
                      <a:avLst/>
                    </a:prstGeom>
                  </pic:spPr>
                </pic:pic>
              </a:graphicData>
            </a:graphic>
          </wp:inline>
        </w:drawing>
      </w:r>
    </w:p>
    <w:p w14:paraId="5F42723A" w14:textId="1A87B394" w:rsidR="002D5AE9" w:rsidRDefault="002D5AE9" w:rsidP="002D5AE9">
      <w:pPr>
        <w:autoSpaceDE w:val="0"/>
        <w:autoSpaceDN w:val="0"/>
        <w:adjustRightInd w:val="0"/>
        <w:spacing w:after="0" w:line="240" w:lineRule="auto"/>
        <w:rPr>
          <w:rFonts w:cstheme="minorHAnsi"/>
        </w:rPr>
      </w:pPr>
      <w:r w:rsidRPr="002D5AE9">
        <w:rPr>
          <w:rFonts w:cstheme="minorHAnsi"/>
          <w:highlight w:val="green"/>
        </w:rPr>
        <w:t>TO DO</w:t>
      </w:r>
    </w:p>
    <w:p w14:paraId="6300FC65" w14:textId="77777777" w:rsidR="002D5AE9" w:rsidRPr="002D5AE9" w:rsidRDefault="002D5AE9" w:rsidP="002D5AE9">
      <w:pPr>
        <w:autoSpaceDE w:val="0"/>
        <w:autoSpaceDN w:val="0"/>
        <w:adjustRightInd w:val="0"/>
        <w:spacing w:after="0" w:line="240" w:lineRule="auto"/>
        <w:rPr>
          <w:rFonts w:cstheme="minorHAnsi"/>
        </w:rPr>
      </w:pPr>
    </w:p>
    <w:p w14:paraId="1324F48A"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highlight w:val="green"/>
        </w:rPr>
        <w:t>a.</w:t>
      </w:r>
      <w:r w:rsidRPr="002D5AE9">
        <w:rPr>
          <w:rFonts w:cstheme="minorHAnsi"/>
        </w:rPr>
        <w:t xml:space="preserve"> (1) On what financial goal does Stanley seem to be focusing? Is it the </w:t>
      </w:r>
      <w:proofErr w:type="gramStart"/>
      <w:r w:rsidRPr="002D5AE9">
        <w:rPr>
          <w:rFonts w:cstheme="minorHAnsi"/>
        </w:rPr>
        <w:t>correct</w:t>
      </w:r>
      <w:proofErr w:type="gramEnd"/>
    </w:p>
    <w:p w14:paraId="4D29FFFF" w14:textId="5F4EA816" w:rsidR="002D5AE9" w:rsidRPr="002D5AE9" w:rsidRDefault="002D5AE9" w:rsidP="002D5AE9">
      <w:pPr>
        <w:autoSpaceDE w:val="0"/>
        <w:autoSpaceDN w:val="0"/>
        <w:adjustRightInd w:val="0"/>
        <w:spacing w:after="0" w:line="240" w:lineRule="auto"/>
        <w:rPr>
          <w:rFonts w:cstheme="minorHAnsi"/>
        </w:rPr>
      </w:pPr>
      <w:r w:rsidRPr="002D5AE9">
        <w:rPr>
          <w:rFonts w:cstheme="minorHAnsi"/>
        </w:rPr>
        <w:t>goal? Why or why not?</w:t>
      </w:r>
    </w:p>
    <w:p w14:paraId="461FCB5D" w14:textId="679334A6" w:rsidR="002D5AE9" w:rsidRDefault="002D5AE9" w:rsidP="002D5AE9">
      <w:pPr>
        <w:autoSpaceDE w:val="0"/>
        <w:autoSpaceDN w:val="0"/>
        <w:adjustRightInd w:val="0"/>
        <w:spacing w:after="0" w:line="240" w:lineRule="auto"/>
        <w:rPr>
          <w:rFonts w:cstheme="minorHAnsi"/>
        </w:rPr>
      </w:pPr>
      <w:r w:rsidRPr="002D5AE9">
        <w:rPr>
          <w:rFonts w:cstheme="minorHAnsi"/>
        </w:rPr>
        <w:t>(2) Could a potential agency problem exist in this firm? Explain.</w:t>
      </w:r>
    </w:p>
    <w:p w14:paraId="1557AA49" w14:textId="77777777" w:rsidR="002D5AE9" w:rsidRPr="002D5AE9" w:rsidRDefault="002D5AE9" w:rsidP="002D5AE9">
      <w:pPr>
        <w:autoSpaceDE w:val="0"/>
        <w:autoSpaceDN w:val="0"/>
        <w:adjustRightInd w:val="0"/>
        <w:spacing w:after="0" w:line="240" w:lineRule="auto"/>
        <w:rPr>
          <w:rFonts w:cstheme="minorHAnsi"/>
        </w:rPr>
      </w:pPr>
    </w:p>
    <w:p w14:paraId="4CC97B23"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highlight w:val="green"/>
        </w:rPr>
        <w:t>b.</w:t>
      </w:r>
      <w:r w:rsidRPr="002D5AE9">
        <w:rPr>
          <w:rFonts w:cstheme="minorHAnsi"/>
        </w:rPr>
        <w:t xml:space="preserve"> Calculate the firm’s earnings per share (EPS) for each year, recognizing that the</w:t>
      </w:r>
    </w:p>
    <w:p w14:paraId="6885CB13"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number of shares of common stock outstanding has remained unchanged since</w:t>
      </w:r>
    </w:p>
    <w:p w14:paraId="6FCC7E2D"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the firm’s inception. Comment on the EPS performance in view of your response</w:t>
      </w:r>
    </w:p>
    <w:p w14:paraId="1311823B" w14:textId="5F2C6E29" w:rsidR="002D5AE9" w:rsidRDefault="002D5AE9" w:rsidP="002D5AE9">
      <w:pPr>
        <w:autoSpaceDE w:val="0"/>
        <w:autoSpaceDN w:val="0"/>
        <w:adjustRightInd w:val="0"/>
        <w:spacing w:after="0" w:line="240" w:lineRule="auto"/>
        <w:rPr>
          <w:rFonts w:cstheme="minorHAnsi"/>
        </w:rPr>
      </w:pPr>
      <w:r w:rsidRPr="002D5AE9">
        <w:rPr>
          <w:rFonts w:cstheme="minorHAnsi"/>
        </w:rPr>
        <w:t>in part a.</w:t>
      </w:r>
    </w:p>
    <w:p w14:paraId="468B0B36" w14:textId="77777777" w:rsidR="002D5AE9" w:rsidRPr="002D5AE9" w:rsidRDefault="002D5AE9" w:rsidP="002D5AE9">
      <w:pPr>
        <w:autoSpaceDE w:val="0"/>
        <w:autoSpaceDN w:val="0"/>
        <w:adjustRightInd w:val="0"/>
        <w:spacing w:after="0" w:line="240" w:lineRule="auto"/>
        <w:rPr>
          <w:rFonts w:cstheme="minorHAnsi"/>
        </w:rPr>
      </w:pPr>
    </w:p>
    <w:p w14:paraId="21BDCAE8"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highlight w:val="green"/>
        </w:rPr>
        <w:t>c.</w:t>
      </w:r>
      <w:r w:rsidRPr="002D5AE9">
        <w:rPr>
          <w:rFonts w:cstheme="minorHAnsi"/>
        </w:rPr>
        <w:t xml:space="preserve"> Use the financial data presented to determine Track’s operating cash flow (OCF)</w:t>
      </w:r>
    </w:p>
    <w:p w14:paraId="091DE5F9"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 xml:space="preserve">and free cash flow (FCF) in 2015. Evaluate your findings </w:t>
      </w:r>
      <w:proofErr w:type="gramStart"/>
      <w:r w:rsidRPr="002D5AE9">
        <w:rPr>
          <w:rFonts w:cstheme="minorHAnsi"/>
        </w:rPr>
        <w:t>in light of</w:t>
      </w:r>
      <w:proofErr w:type="gramEnd"/>
      <w:r w:rsidRPr="002D5AE9">
        <w:rPr>
          <w:rFonts w:cstheme="minorHAnsi"/>
        </w:rPr>
        <w:t xml:space="preserve"> Track’s current</w:t>
      </w:r>
    </w:p>
    <w:p w14:paraId="5B0C4411" w14:textId="5F39FB2B" w:rsidR="002D5AE9" w:rsidRDefault="002D5AE9" w:rsidP="002D5AE9">
      <w:pPr>
        <w:autoSpaceDE w:val="0"/>
        <w:autoSpaceDN w:val="0"/>
        <w:adjustRightInd w:val="0"/>
        <w:spacing w:after="0" w:line="240" w:lineRule="auto"/>
        <w:rPr>
          <w:rFonts w:cstheme="minorHAnsi"/>
        </w:rPr>
      </w:pPr>
      <w:r w:rsidRPr="002D5AE9">
        <w:rPr>
          <w:rFonts w:cstheme="minorHAnsi"/>
        </w:rPr>
        <w:t>cash flow difficulties.</w:t>
      </w:r>
    </w:p>
    <w:p w14:paraId="4E6597AE" w14:textId="77777777" w:rsidR="002D5AE9" w:rsidRPr="002D5AE9" w:rsidRDefault="002D5AE9" w:rsidP="002D5AE9">
      <w:pPr>
        <w:autoSpaceDE w:val="0"/>
        <w:autoSpaceDN w:val="0"/>
        <w:adjustRightInd w:val="0"/>
        <w:spacing w:after="0" w:line="240" w:lineRule="auto"/>
        <w:rPr>
          <w:rFonts w:cstheme="minorHAnsi"/>
        </w:rPr>
      </w:pPr>
    </w:p>
    <w:p w14:paraId="009C2C60"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highlight w:val="green"/>
        </w:rPr>
        <w:t>d.</w:t>
      </w:r>
      <w:r w:rsidRPr="002D5AE9">
        <w:rPr>
          <w:rFonts w:cstheme="minorHAnsi"/>
        </w:rPr>
        <w:t xml:space="preserve"> Analyze the firm’s financial condition in 2015 as it relates to (1) liquidity, (2) activity,</w:t>
      </w:r>
    </w:p>
    <w:p w14:paraId="025F1D72"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(3) debt, (4) profitability, and (5) market, using the financial statements</w:t>
      </w:r>
    </w:p>
    <w:p w14:paraId="15F9453B"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provided in Tables 2 and 3 and the ratio data included in Table 5. Be sure to</w:t>
      </w:r>
    </w:p>
    <w:p w14:paraId="16E1AADC" w14:textId="2A78E01B" w:rsidR="002D5AE9" w:rsidRDefault="002D5AE9" w:rsidP="002D5AE9">
      <w:pPr>
        <w:autoSpaceDE w:val="0"/>
        <w:autoSpaceDN w:val="0"/>
        <w:adjustRightInd w:val="0"/>
        <w:spacing w:after="0" w:line="240" w:lineRule="auto"/>
        <w:rPr>
          <w:rFonts w:cstheme="minorHAnsi"/>
        </w:rPr>
      </w:pPr>
      <w:r w:rsidRPr="002D5AE9">
        <w:rPr>
          <w:rFonts w:cstheme="minorHAnsi"/>
        </w:rPr>
        <w:t>evaluate the firm on both a cross-sectional and a time-series basis.</w:t>
      </w:r>
    </w:p>
    <w:p w14:paraId="7A3A22E1" w14:textId="77777777" w:rsidR="002D5AE9" w:rsidRPr="002D5AE9" w:rsidRDefault="002D5AE9" w:rsidP="002D5AE9">
      <w:pPr>
        <w:autoSpaceDE w:val="0"/>
        <w:autoSpaceDN w:val="0"/>
        <w:adjustRightInd w:val="0"/>
        <w:spacing w:after="0" w:line="240" w:lineRule="auto"/>
        <w:rPr>
          <w:rFonts w:cstheme="minorHAnsi"/>
        </w:rPr>
      </w:pPr>
    </w:p>
    <w:p w14:paraId="6A646A83"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highlight w:val="green"/>
        </w:rPr>
        <w:t>e.</w:t>
      </w:r>
      <w:r w:rsidRPr="002D5AE9">
        <w:rPr>
          <w:rFonts w:cstheme="minorHAnsi"/>
        </w:rPr>
        <w:t xml:space="preserve"> What recommendation would you make to Stanley regarding hiring a new software</w:t>
      </w:r>
    </w:p>
    <w:p w14:paraId="295708B5" w14:textId="2358FEFC" w:rsidR="002D5AE9" w:rsidRDefault="002D5AE9" w:rsidP="002D5AE9">
      <w:pPr>
        <w:autoSpaceDE w:val="0"/>
        <w:autoSpaceDN w:val="0"/>
        <w:adjustRightInd w:val="0"/>
        <w:spacing w:after="0" w:line="240" w:lineRule="auto"/>
        <w:rPr>
          <w:rFonts w:cstheme="minorHAnsi"/>
        </w:rPr>
      </w:pPr>
      <w:r w:rsidRPr="002D5AE9">
        <w:rPr>
          <w:rFonts w:cstheme="minorHAnsi"/>
        </w:rPr>
        <w:t>developer? Relate your recommendation here to your responses in part a.</w:t>
      </w:r>
    </w:p>
    <w:p w14:paraId="283ADD18" w14:textId="77777777" w:rsidR="002D5AE9" w:rsidRPr="002D5AE9" w:rsidRDefault="002D5AE9" w:rsidP="002D5AE9">
      <w:pPr>
        <w:autoSpaceDE w:val="0"/>
        <w:autoSpaceDN w:val="0"/>
        <w:adjustRightInd w:val="0"/>
        <w:spacing w:after="0" w:line="240" w:lineRule="auto"/>
        <w:rPr>
          <w:rFonts w:cstheme="minorHAnsi"/>
        </w:rPr>
      </w:pPr>
    </w:p>
    <w:p w14:paraId="0AF5D323"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highlight w:val="green"/>
        </w:rPr>
        <w:t>f.</w:t>
      </w:r>
      <w:r w:rsidRPr="002D5AE9">
        <w:rPr>
          <w:rFonts w:cstheme="minorHAnsi"/>
        </w:rPr>
        <w:t xml:space="preserve"> Track Software paid $5,000 in dividends in 2015. Suppose that an investor approached</w:t>
      </w:r>
    </w:p>
    <w:p w14:paraId="13B18EDA"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Stanley about buying 100% of his firm. If this investor believed that by</w:t>
      </w:r>
    </w:p>
    <w:p w14:paraId="1DC21052"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 xml:space="preserve">owning the </w:t>
      </w:r>
      <w:proofErr w:type="gramStart"/>
      <w:r w:rsidRPr="002D5AE9">
        <w:rPr>
          <w:rFonts w:cstheme="minorHAnsi"/>
        </w:rPr>
        <w:t>company</w:t>
      </w:r>
      <w:proofErr w:type="gramEnd"/>
      <w:r w:rsidRPr="002D5AE9">
        <w:rPr>
          <w:rFonts w:cstheme="minorHAnsi"/>
        </w:rPr>
        <w:t xml:space="preserve"> he could extract $5,000 per year in cash from the company</w:t>
      </w:r>
    </w:p>
    <w:p w14:paraId="38F8EC70"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lastRenderedPageBreak/>
        <w:t>in perpetuity, what do you think the investor would be willing to pay for the firm</w:t>
      </w:r>
    </w:p>
    <w:p w14:paraId="40934593" w14:textId="7540A97F" w:rsidR="002D5AE9" w:rsidRDefault="002D5AE9" w:rsidP="002D5AE9">
      <w:pPr>
        <w:autoSpaceDE w:val="0"/>
        <w:autoSpaceDN w:val="0"/>
        <w:adjustRightInd w:val="0"/>
        <w:spacing w:after="0" w:line="240" w:lineRule="auto"/>
        <w:rPr>
          <w:rFonts w:cstheme="minorHAnsi"/>
        </w:rPr>
      </w:pPr>
      <w:r w:rsidRPr="002D5AE9">
        <w:rPr>
          <w:rFonts w:cstheme="minorHAnsi"/>
        </w:rPr>
        <w:t>if the required return on this investment is 10%?</w:t>
      </w:r>
    </w:p>
    <w:p w14:paraId="4CB36DCA" w14:textId="77777777" w:rsidR="002D5AE9" w:rsidRPr="002D5AE9" w:rsidRDefault="002D5AE9" w:rsidP="002D5AE9">
      <w:pPr>
        <w:autoSpaceDE w:val="0"/>
        <w:autoSpaceDN w:val="0"/>
        <w:adjustRightInd w:val="0"/>
        <w:spacing w:after="0" w:line="240" w:lineRule="auto"/>
        <w:rPr>
          <w:rFonts w:cstheme="minorHAnsi"/>
        </w:rPr>
      </w:pPr>
    </w:p>
    <w:p w14:paraId="6CE0FDC7"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highlight w:val="green"/>
        </w:rPr>
        <w:t>g</w:t>
      </w:r>
      <w:r w:rsidRPr="002D5AE9">
        <w:rPr>
          <w:rFonts w:cstheme="minorHAnsi"/>
        </w:rPr>
        <w:t>. Suppose that you believed that the FCF generated by Track Software in 2015</w:t>
      </w:r>
    </w:p>
    <w:p w14:paraId="0E74B248"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could continue forever. You are willing to buy the company in order to receive</w:t>
      </w:r>
    </w:p>
    <w:p w14:paraId="2DE838B8" w14:textId="77777777" w:rsidR="002D5AE9" w:rsidRPr="002D5AE9" w:rsidRDefault="002D5AE9" w:rsidP="002D5AE9">
      <w:pPr>
        <w:autoSpaceDE w:val="0"/>
        <w:autoSpaceDN w:val="0"/>
        <w:adjustRightInd w:val="0"/>
        <w:spacing w:after="0" w:line="240" w:lineRule="auto"/>
        <w:rPr>
          <w:rFonts w:cstheme="minorHAnsi"/>
        </w:rPr>
      </w:pPr>
      <w:r w:rsidRPr="002D5AE9">
        <w:rPr>
          <w:rFonts w:cstheme="minorHAnsi"/>
        </w:rPr>
        <w:t xml:space="preserve">this perpetual stream of free cash flow. What are you willing to pay if you </w:t>
      </w:r>
      <w:proofErr w:type="gramStart"/>
      <w:r w:rsidRPr="002D5AE9">
        <w:rPr>
          <w:rFonts w:cstheme="minorHAnsi"/>
        </w:rPr>
        <w:t>require</w:t>
      </w:r>
      <w:proofErr w:type="gramEnd"/>
    </w:p>
    <w:p w14:paraId="4CC94D2F" w14:textId="40D4A60A" w:rsidR="002D5AE9" w:rsidRPr="005631D8" w:rsidRDefault="002D5AE9" w:rsidP="002D5AE9">
      <w:pPr>
        <w:autoSpaceDE w:val="0"/>
        <w:autoSpaceDN w:val="0"/>
        <w:adjustRightInd w:val="0"/>
        <w:spacing w:after="0" w:line="240" w:lineRule="auto"/>
        <w:rPr>
          <w:rFonts w:cstheme="minorHAnsi"/>
        </w:rPr>
      </w:pPr>
      <w:r w:rsidRPr="002D5AE9">
        <w:rPr>
          <w:rFonts w:cstheme="minorHAnsi"/>
        </w:rPr>
        <w:t>a 10% return on your investment?</w:t>
      </w:r>
      <w:bookmarkStart w:id="0" w:name="_GoBack"/>
      <w:bookmarkEnd w:id="0"/>
    </w:p>
    <w:sectPr w:rsidR="002D5AE9" w:rsidRPr="005631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uturaStd-Medium">
    <w:altName w:val="Century Goth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014ADE"/>
    <w:rsid w:val="00271E37"/>
    <w:rsid w:val="002D5AE9"/>
    <w:rsid w:val="005631D8"/>
    <w:rsid w:val="006766D5"/>
    <w:rsid w:val="00A66992"/>
    <w:rsid w:val="00D32FBC"/>
    <w:rsid w:val="00DB47A3"/>
    <w:rsid w:val="00E66F90"/>
    <w:rsid w:val="00E71A51"/>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2</cp:revision>
  <dcterms:created xsi:type="dcterms:W3CDTF">2019-02-23T17:47:00Z</dcterms:created>
  <dcterms:modified xsi:type="dcterms:W3CDTF">2019-02-23T17:47:00Z</dcterms:modified>
</cp:coreProperties>
</file>